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14"/>
        <w:gridCol w:w="4369"/>
        <w:gridCol w:w="388"/>
        <w:gridCol w:w="33"/>
        <w:gridCol w:w="534"/>
        <w:gridCol w:w="33"/>
        <w:gridCol w:w="675"/>
        <w:gridCol w:w="33"/>
        <w:gridCol w:w="818"/>
        <w:gridCol w:w="33"/>
        <w:gridCol w:w="676"/>
        <w:gridCol w:w="33"/>
        <w:gridCol w:w="1242"/>
        <w:gridCol w:w="33"/>
        <w:gridCol w:w="464"/>
        <w:gridCol w:w="35"/>
        <w:gridCol w:w="463"/>
        <w:gridCol w:w="37"/>
        <w:gridCol w:w="461"/>
        <w:gridCol w:w="38"/>
        <w:gridCol w:w="460"/>
        <w:gridCol w:w="40"/>
        <w:gridCol w:w="457"/>
        <w:gridCol w:w="43"/>
        <w:gridCol w:w="455"/>
        <w:gridCol w:w="44"/>
        <w:gridCol w:w="454"/>
        <w:gridCol w:w="46"/>
        <w:gridCol w:w="452"/>
        <w:gridCol w:w="48"/>
        <w:gridCol w:w="704"/>
        <w:gridCol w:w="7"/>
      </w:tblGrid>
      <w:tr w:rsidR="00C4096D" w:rsidRPr="00A742DB" w:rsidTr="00C4096D">
        <w:trPr>
          <w:gridAfter w:val="1"/>
          <w:wAfter w:w="7" w:type="dxa"/>
          <w:trHeight w:val="510"/>
          <w:tblHeader/>
        </w:trPr>
        <w:tc>
          <w:tcPr>
            <w:tcW w:w="5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8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2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A742DB">
              <w:rPr>
                <w:rFonts w:ascii="Sylfaen" w:hAnsi="Sylfaen" w:cs="Sylfaen"/>
                <w:sz w:val="20"/>
                <w:szCs w:val="20"/>
                <w:lang w:val="ka-GE"/>
              </w:rPr>
              <w:t>ლაბ/</w:t>
            </w:r>
            <w:r w:rsidRPr="00A742D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997" w:type="dxa"/>
            <w:gridSpan w:val="16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0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C4096D" w:rsidRPr="00A742DB" w:rsidTr="00C4096D">
        <w:trPr>
          <w:gridAfter w:val="1"/>
          <w:wAfter w:w="7" w:type="dxa"/>
          <w:trHeight w:val="510"/>
          <w:tblHeader/>
        </w:trPr>
        <w:tc>
          <w:tcPr>
            <w:tcW w:w="57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096D" w:rsidRPr="00A742DB" w:rsidTr="00C4096D">
        <w:trPr>
          <w:gridAfter w:val="1"/>
          <w:wAfter w:w="7" w:type="dxa"/>
          <w:cantSplit/>
          <w:trHeight w:val="1787"/>
          <w:tblHeader/>
        </w:trPr>
        <w:tc>
          <w:tcPr>
            <w:tcW w:w="57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096D" w:rsidRPr="00A742DB" w:rsidTr="00C4096D">
        <w:trPr>
          <w:gridAfter w:val="1"/>
          <w:wAfter w:w="7" w:type="dxa"/>
          <w:cantSplit/>
          <w:trHeight w:val="253"/>
          <w:tblHeader/>
        </w:trPr>
        <w:tc>
          <w:tcPr>
            <w:tcW w:w="5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</w:tr>
      <w:tr w:rsidR="00C4096D" w:rsidRPr="00A742DB" w:rsidTr="00C4096D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608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ind w:left="113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სპეციალობისდამხმარესავალდებულოკურსები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(45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კრედიტი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უმაღლესიმათემატიკა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  1</w:t>
            </w:r>
          </w:p>
        </w:tc>
        <w:tc>
          <w:tcPr>
            <w:tcW w:w="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უმაღლესიმათემატიკა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  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1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ინგლისური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</w:t>
            </w:r>
          </w:p>
          <w:p w:rsidR="00C4096D" w:rsidRPr="00A742DB" w:rsidRDefault="00C4096D" w:rsidP="00C4096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ფრანგული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რუსული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4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ენა2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ინგლისური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</w:t>
            </w:r>
          </w:p>
          <w:p w:rsidR="00C4096D" w:rsidRPr="00A742DB" w:rsidRDefault="00C4096D" w:rsidP="00C4096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ფრანგული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რუსული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4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უცხო ენა 3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(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ინგლისური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გერმანული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ფრანგული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რუსული</w:t>
            </w:r>
            <w:r w:rsidRPr="00A742DB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4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ინფორმატიკა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3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აკადემიურიწერა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3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91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საინჟინროგრაფიკა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91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615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ძირითადისპეციალობის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(major)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სავალდებულოკურსები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(60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კრედიტი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კომპიუტერულიხაზვა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ნიადაგმცოდნეობა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აგროინჟინერიისსაფუძვლები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შრომისდაცვადაუსაფრთხოება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თეორიულიმექანიკა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სასოფლო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–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სამეურნეოტექნიკისსამუშაოორგანოებისცვეთაგამძლემასალები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ეურნეო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ტექნიკისკონსტრუქციებისსაინჟინროგაანგარიშებისმეთოდები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14; 15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აგროსაინჟინრომანქანებისმექანიზმებისანალიზიდასინთეზი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14; 16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მეტროლოგიადაურთიერთშეცვლადობატექნიკურსერვისში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ეურნეო</w:t>
            </w:r>
            <w:r w:rsidRPr="00A742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ტექნიკის</w:t>
            </w:r>
            <w:proofErr w:type="spellEnd"/>
            <w:r w:rsidRPr="00A742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ჰიდრავლიკური</w:t>
            </w:r>
            <w:proofErr w:type="spellEnd"/>
            <w:r w:rsidRPr="00A742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ტექნიკისძალურიგადაცემები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16; 18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ტექნიკისსაწარმოოექსპლუატაცია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924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615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მოდული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სოფლისმეურნეობისმექანიზაცია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(60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კრედიტი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ტრაქტორებიდაავტომობილები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8; 15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სასოფლო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>–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სამეურნეომანქანები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ელექტროენერგიის გამოყენება სოფლის მეურნეობაში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სამელიორაციოდასამშენებლომანქანები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ტექნიკისსაექსპლუატაციომასალები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მეცხოველეობისფერმებისმექანიზაცია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სამთოდასუბტროპიკულიმიწათმოქმედებისმექანიზაცია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25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მცირემექანიზაციისტექნიკურისაშუალებები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მანქანათატექნიკურიექსპლუატაცია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21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მანქანებისსაიმედოობადარემონტი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სასწავლოპრაქტიკა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საწარმოოპრაქტიკა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22; 23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864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615" w:type="dxa"/>
            <w:gridSpan w:val="31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მოდული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სასოფლო-სამეურნეოტვირთებისგადაზიდვები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(60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კრედიტი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ტვირთმცოდნეობა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სატრანსპორტოსაშუალებები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6; 8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დატვირთვა</w:t>
            </w:r>
            <w:r w:rsidRPr="00A742DB">
              <w:rPr>
                <w:rFonts w:ascii="Sylfaen" w:hAnsi="Sylfaen"/>
                <w:sz w:val="20"/>
                <w:szCs w:val="20"/>
              </w:rPr>
              <w:t>-</w:t>
            </w:r>
            <w:r w:rsidRPr="00A742DB">
              <w:rPr>
                <w:rFonts w:ascii="Sylfaen" w:hAnsi="Sylfaen" w:cs="Sylfaen"/>
                <w:sz w:val="20"/>
                <w:szCs w:val="20"/>
              </w:rPr>
              <w:t>განტვირთვისსამუშაოებისორგანიზაცია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34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ტვირთვებისგადაზიდვები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35; 36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ტვირთებისგადაზიდვებისსაინფორმაციოუზრუნველყოფადამონიტორინგი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A742DB">
              <w:rPr>
                <w:rFonts w:ascii="Sylfaen" w:hAnsi="Sylfaen"/>
                <w:sz w:val="20"/>
                <w:szCs w:val="20"/>
              </w:rPr>
              <w:t>;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ლოჯისტიკისსაფუძვლები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36; 37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ექსპედირებისსაფუძვლები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37; 39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სასაწყობოსისტემები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38; 39</w:t>
            </w:r>
          </w:p>
        </w:tc>
      </w:tr>
      <w:tr w:rsidR="00C4096D" w:rsidRPr="00A742DB" w:rsidTr="00C4096D">
        <w:trPr>
          <w:gridAfter w:val="1"/>
          <w:wAfter w:w="7" w:type="dxa"/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ოფლო-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 xml:space="preserve">ეურნეო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ტვირთებისგადაზიდვებისუსაფრთხოება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35; 37</w:t>
            </w:r>
          </w:p>
        </w:tc>
      </w:tr>
      <w:tr w:rsidR="00C4096D" w:rsidRPr="00A742DB" w:rsidTr="00C4096D">
        <w:trPr>
          <w:gridAfter w:val="1"/>
          <w:wAfter w:w="7" w:type="dxa"/>
          <w:trHeight w:val="91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876030" w:rsidRDefault="00C4096D" w:rsidP="00C4096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ეკონომიკურ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ტერიტორია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ზესაქონლის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გადაადგილება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37; 38</w:t>
            </w:r>
          </w:p>
        </w:tc>
      </w:tr>
      <w:tr w:rsidR="00C4096D" w:rsidRPr="00A742DB" w:rsidTr="00C4096D">
        <w:trPr>
          <w:gridAfter w:val="1"/>
          <w:wAfter w:w="7" w:type="dxa"/>
          <w:trHeight w:val="91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სასწავლოპრაქტიკა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34;35;36</w:t>
            </w:r>
          </w:p>
        </w:tc>
      </w:tr>
      <w:tr w:rsidR="00C4096D" w:rsidRPr="00A742DB" w:rsidTr="00C4096D">
        <w:trPr>
          <w:gridAfter w:val="1"/>
          <w:wAfter w:w="7" w:type="dxa"/>
          <w:trHeight w:val="91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საწარმოოპრაქტიკა</w:t>
            </w:r>
            <w:proofErr w:type="spellEnd"/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37;38</w:t>
            </w:r>
          </w:p>
        </w:tc>
      </w:tr>
      <w:tr w:rsidR="00C4096D" w:rsidRPr="00A742DB" w:rsidTr="00C4096D">
        <w:trPr>
          <w:gridAfter w:val="1"/>
          <w:wAfter w:w="7" w:type="dxa"/>
          <w:trHeight w:val="108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 w:cs="AcadNusx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864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C4096D" w:rsidRPr="00A742DB" w:rsidTr="00C4096D">
        <w:trPr>
          <w:trHeight w:val="91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3622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არჩევითი</w:t>
            </w:r>
            <w:proofErr w:type="spellEnd"/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ელექტიურიდისციპლინები</w:t>
            </w:r>
            <w:proofErr w:type="spellEnd"/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(15 </w:t>
            </w:r>
            <w:proofErr w:type="spellStart"/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A742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საქართველოსისტორია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ფილოსოფია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ეკოლოგია</w:t>
            </w:r>
            <w:proofErr w:type="spellEnd"/>
            <w:r w:rsidRPr="00A742DB">
              <w:rPr>
                <w:rFonts w:ascii="Sylfaen" w:hAnsi="Sylfaen" w:cs="Sylfaen"/>
                <w:sz w:val="20"/>
                <w:szCs w:val="20"/>
              </w:rPr>
              <w:t xml:space="preserve"> და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გარემო</w:t>
            </w:r>
            <w:proofErr w:type="spellEnd"/>
            <w:r w:rsidRPr="00A742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სდაცვის</w:t>
            </w:r>
            <w:proofErr w:type="spellEnd"/>
            <w:r w:rsidRPr="00A742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სასოფლო</w:t>
            </w:r>
            <w:r w:rsidRPr="00A742DB">
              <w:rPr>
                <w:rFonts w:ascii="Sylfaen" w:hAnsi="Sylfaen"/>
                <w:sz w:val="20"/>
                <w:szCs w:val="20"/>
              </w:rPr>
              <w:t>-</w:t>
            </w:r>
            <w:r w:rsidRPr="00A742DB">
              <w:rPr>
                <w:rFonts w:ascii="Sylfaen" w:hAnsi="Sylfaen" w:cs="Sylfaen"/>
                <w:sz w:val="20"/>
                <w:szCs w:val="20"/>
              </w:rPr>
              <w:t>სამეურნეო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ტექნიკის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ძალური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აგრეგატების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ელექტროამძრავები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სატრანსპორტო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ფუნქციონირება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876030" w:rsidRDefault="00C4096D" w:rsidP="00C4096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76030">
              <w:rPr>
                <w:rFonts w:ascii="Sylfaen" w:hAnsi="Sylfaen" w:cs="Arial"/>
                <w:sz w:val="20"/>
                <w:szCs w:val="20"/>
                <w:lang w:val="ka-GE"/>
              </w:rPr>
              <w:t>აგრობიზნესის საფუძვლები</w:t>
            </w:r>
          </w:p>
        </w:tc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უცხოენა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მეცხოველეობა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აგრონომიისსაფუძვლები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სამკურნალომცენარეები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ლითონთატექნოლოგია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სატრანსპორტოსაწარმოებისინფრასტრუქტურა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A742DB">
              <w:rPr>
                <w:rFonts w:ascii="Sylfaen" w:hAnsi="Sylfaen" w:cs="Sylfaen"/>
                <w:sz w:val="20"/>
                <w:szCs w:val="20"/>
                <w:lang w:val="ka-GE"/>
              </w:rPr>
              <w:t>ბაღ–პარკების პროექტირება</w:t>
            </w:r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/2/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უცხოენა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4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სოფლისმეურნეობისეკონომიკა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45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77</w:t>
            </w:r>
          </w:p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მიკროეკონომიკა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მაკროეკონომიკა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მოწყობილობები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აგროსაინჟინროსერვისი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სატრანსპორტო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პროცესების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რეგულაციის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122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42DB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A742DB">
              <w:rPr>
                <w:rFonts w:ascii="Sylfaen" w:hAnsi="Sylfaen" w:cs="Sylfaen"/>
                <w:sz w:val="20"/>
                <w:szCs w:val="20"/>
                <w:lang w:val="ka-GE"/>
              </w:rPr>
              <w:t>ბაღ–პარკების მშენებლობა</w:t>
            </w:r>
          </w:p>
        </w:tc>
        <w:tc>
          <w:tcPr>
            <w:tcW w:w="3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2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უცხოენა</w:t>
            </w:r>
            <w:proofErr w:type="spellEnd"/>
            <w:r w:rsidRPr="00A742DB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4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A742D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742DB">
              <w:rPr>
                <w:rFonts w:ascii="Sylfaen" w:hAnsi="Sylfaen" w:cs="Sylfaen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375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3622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დამატებითისპეციალობა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 xml:space="preserve">(minor) (60 </w:t>
            </w: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კრედიტი</w:t>
            </w:r>
            <w:proofErr w:type="spellEnd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C4096D" w:rsidRPr="00A742DB" w:rsidTr="00C4096D">
        <w:trPr>
          <w:trHeight w:val="283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A742DB">
              <w:rPr>
                <w:rFonts w:ascii="Sylfaen" w:hAnsi="Sylfaen" w:cs="Tahoma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742D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096D" w:rsidRPr="00A742DB" w:rsidTr="00C4096D">
        <w:trPr>
          <w:trHeight w:val="283"/>
        </w:trPr>
        <w:tc>
          <w:tcPr>
            <w:tcW w:w="495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Tahoma"/>
                <w:sz w:val="20"/>
                <w:szCs w:val="20"/>
                <w:lang w:val="ka-GE"/>
              </w:rPr>
            </w:pPr>
            <w:proofErr w:type="spellStart"/>
            <w:r w:rsidRPr="00A742DB">
              <w:rPr>
                <w:rFonts w:ascii="Sylfaen" w:eastAsia="Arial Unicode MS" w:hAnsi="Sylfaen" w:cs="Arial Unicode MS"/>
                <w:sz w:val="20"/>
                <w:szCs w:val="20"/>
              </w:rPr>
              <w:t>სულსასწავლოგეგმით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6000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2365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3579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742DB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4096D" w:rsidRPr="00A742DB" w:rsidRDefault="00C4096D" w:rsidP="00C4096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04542C" w:rsidRDefault="0004542C"/>
    <w:sectPr w:rsidR="0004542C" w:rsidSect="00C409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C"/>
    <w:rsid w:val="0004542C"/>
    <w:rsid w:val="00C4096D"/>
    <w:rsid w:val="00E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3DEF9-DB20-49F5-B2F6-AEFBFDC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409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096D"/>
    <w:pPr>
      <w:keepNext/>
      <w:spacing w:after="0" w:line="240" w:lineRule="auto"/>
      <w:jc w:val="center"/>
      <w:outlineLvl w:val="1"/>
    </w:pPr>
    <w:rPr>
      <w:rFonts w:ascii="Geo_Times" w:eastAsia="Times New Roman" w:hAnsi="Geo_Times" w:cs="Times New Roman"/>
      <w:sz w:val="24"/>
      <w:szCs w:val="24"/>
      <w:lang w:val="af-ZA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096D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4096D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4096D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4096D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409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C409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C4096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096D"/>
    <w:rPr>
      <w:rFonts w:ascii="Geo_Times" w:eastAsia="Times New Roman" w:hAnsi="Geo_Times" w:cs="Times New Roman"/>
      <w:sz w:val="24"/>
      <w:szCs w:val="24"/>
      <w:lang w:val="af-ZA" w:eastAsia="ru-RU"/>
    </w:rPr>
  </w:style>
  <w:style w:type="character" w:customStyle="1" w:styleId="Heading3Char">
    <w:name w:val="Heading 3 Char"/>
    <w:basedOn w:val="DefaultParagraphFont"/>
    <w:link w:val="Heading3"/>
    <w:rsid w:val="00C4096D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4096D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4096D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4096D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409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4096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4096D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409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6D"/>
  </w:style>
  <w:style w:type="paragraph" w:styleId="Header">
    <w:name w:val="header"/>
    <w:basedOn w:val="Normal"/>
    <w:link w:val="HeaderChar"/>
    <w:unhideWhenUsed/>
    <w:rsid w:val="00C409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096D"/>
  </w:style>
  <w:style w:type="character" w:styleId="PageNumber">
    <w:name w:val="page number"/>
    <w:basedOn w:val="DefaultParagraphFont"/>
    <w:rsid w:val="00C4096D"/>
  </w:style>
  <w:style w:type="character" w:styleId="Hyperlink">
    <w:name w:val="Hyperlink"/>
    <w:basedOn w:val="DefaultParagraphFont"/>
    <w:unhideWhenUsed/>
    <w:rsid w:val="00C409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96D"/>
    <w:pPr>
      <w:ind w:left="720"/>
      <w:contextualSpacing/>
    </w:pPr>
  </w:style>
  <w:style w:type="paragraph" w:styleId="NormalWeb">
    <w:name w:val="Normal (Web)"/>
    <w:basedOn w:val="Normal"/>
    <w:rsid w:val="00C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C40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4096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odyTextIndent">
    <w:name w:val="Body Text Indent"/>
    <w:aliases w:val=" Char,Char"/>
    <w:basedOn w:val="Normal"/>
    <w:link w:val="BodyTextIndentChar"/>
    <w:unhideWhenUsed/>
    <w:rsid w:val="00C4096D"/>
    <w:pPr>
      <w:spacing w:after="0" w:line="360" w:lineRule="auto"/>
      <w:ind w:firstLine="540"/>
      <w:jc w:val="both"/>
    </w:pPr>
    <w:rPr>
      <w:rFonts w:ascii="AcadNusx" w:eastAsia="Times New Roman" w:hAnsi="AcadNusx" w:cs="Times New Roman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C4096D"/>
    <w:rPr>
      <w:rFonts w:ascii="AcadNusx" w:eastAsia="Times New Roman" w:hAnsi="AcadNusx" w:cs="Times New Roman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C4096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4096D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StyleSylfaen0">
    <w:name w:val="Style Sylfaen Знак"/>
    <w:link w:val="StyleSylfaen"/>
    <w:locked/>
    <w:rsid w:val="00C4096D"/>
    <w:rPr>
      <w:rFonts w:ascii="Sylfaen" w:hAnsi="Sylfaen" w:cs="Sylfaen"/>
      <w:sz w:val="24"/>
      <w:szCs w:val="24"/>
    </w:rPr>
  </w:style>
  <w:style w:type="paragraph" w:customStyle="1" w:styleId="StyleSylfaen">
    <w:name w:val="Style Sylfaen"/>
    <w:basedOn w:val="Normal"/>
    <w:link w:val="StyleSylfaen0"/>
    <w:rsid w:val="00C4096D"/>
    <w:pPr>
      <w:numPr>
        <w:numId w:val="1"/>
      </w:numPr>
      <w:spacing w:before="240" w:after="0" w:line="240" w:lineRule="auto"/>
      <w:jc w:val="both"/>
    </w:pPr>
    <w:rPr>
      <w:rFonts w:ascii="Sylfaen" w:hAnsi="Sylfaen" w:cs="Sylfaen"/>
      <w:sz w:val="24"/>
      <w:szCs w:val="24"/>
    </w:rPr>
  </w:style>
  <w:style w:type="character" w:customStyle="1" w:styleId="StyleSylfaen1">
    <w:name w:val="Style Sylfaen Знак Знак Знак"/>
    <w:link w:val="StyleSylfaen2"/>
    <w:locked/>
    <w:rsid w:val="00C4096D"/>
    <w:rPr>
      <w:rFonts w:ascii="Sylfaen" w:hAnsi="Sylfaen" w:cs="Sylfaen"/>
      <w:sz w:val="24"/>
      <w:szCs w:val="24"/>
    </w:rPr>
  </w:style>
  <w:style w:type="paragraph" w:customStyle="1" w:styleId="StyleSylfaen2">
    <w:name w:val="Style Sylfaen Знак Знак"/>
    <w:basedOn w:val="Normal"/>
    <w:link w:val="StyleSylfaen1"/>
    <w:rsid w:val="00C4096D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hAnsi="Sylfaen" w:cs="Sylfaen"/>
      <w:sz w:val="24"/>
      <w:szCs w:val="24"/>
    </w:rPr>
  </w:style>
  <w:style w:type="character" w:styleId="Strong">
    <w:name w:val="Strong"/>
    <w:qFormat/>
    <w:rsid w:val="00C4096D"/>
    <w:rPr>
      <w:b/>
      <w:bCs/>
    </w:rPr>
  </w:style>
  <w:style w:type="paragraph" w:customStyle="1" w:styleId="abzacixml">
    <w:name w:val="abzaci_xml"/>
    <w:basedOn w:val="PlainText"/>
    <w:autoRedefine/>
    <w:rsid w:val="00C4096D"/>
    <w:pPr>
      <w:jc w:val="both"/>
    </w:pPr>
    <w:rPr>
      <w:rFonts w:ascii="Sylfaen" w:hAnsi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09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96D"/>
    <w:rPr>
      <w:rFonts w:ascii="Consolas" w:hAnsi="Consolas" w:cs="Consolas"/>
      <w:sz w:val="21"/>
      <w:szCs w:val="21"/>
    </w:rPr>
  </w:style>
  <w:style w:type="paragraph" w:styleId="BodyTextIndent3">
    <w:name w:val="Body Text Indent 3"/>
    <w:basedOn w:val="Normal"/>
    <w:link w:val="BodyTextIndent3Char"/>
    <w:unhideWhenUsed/>
    <w:rsid w:val="00C40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096D"/>
    <w:rPr>
      <w:sz w:val="16"/>
      <w:szCs w:val="16"/>
    </w:rPr>
  </w:style>
  <w:style w:type="table" w:styleId="TableGrid">
    <w:name w:val="Table Grid"/>
    <w:basedOn w:val="TableNormal"/>
    <w:unhideWhenUsed/>
    <w:rsid w:val="00C4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4096D"/>
  </w:style>
  <w:style w:type="paragraph" w:customStyle="1" w:styleId="CM1">
    <w:name w:val="CM1"/>
    <w:basedOn w:val="Default"/>
    <w:next w:val="Default"/>
    <w:rsid w:val="00C4096D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C4096D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C4096D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C4096D"/>
  </w:style>
  <w:style w:type="paragraph" w:customStyle="1" w:styleId="listparagraphcxspmiddle">
    <w:name w:val="listparagraphcxspmiddle"/>
    <w:basedOn w:val="Normal"/>
    <w:rsid w:val="00C409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C4096D"/>
    <w:pPr>
      <w:widowControl w:val="0"/>
    </w:pPr>
    <w:rPr>
      <w:color w:val="auto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4096D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96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096D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4096D"/>
    <w:rPr>
      <w:sz w:val="20"/>
      <w:szCs w:val="20"/>
    </w:rPr>
  </w:style>
  <w:style w:type="paragraph" w:customStyle="1" w:styleId="Elizbari">
    <w:name w:val="Elizbari"/>
    <w:basedOn w:val="Normal"/>
    <w:rsid w:val="00C4096D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09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0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96D"/>
    <w:rPr>
      <w:b/>
      <w:bCs/>
      <w:sz w:val="20"/>
      <w:szCs w:val="20"/>
    </w:rPr>
  </w:style>
  <w:style w:type="paragraph" w:customStyle="1" w:styleId="style21">
    <w:name w:val="style21"/>
    <w:basedOn w:val="Normal"/>
    <w:rsid w:val="00C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C4096D"/>
  </w:style>
  <w:style w:type="character" w:styleId="FollowedHyperlink">
    <w:name w:val="FollowedHyperlink"/>
    <w:uiPriority w:val="99"/>
    <w:unhideWhenUsed/>
    <w:rsid w:val="00C4096D"/>
    <w:rPr>
      <w:color w:val="800080"/>
      <w:u w:val="single"/>
    </w:rPr>
  </w:style>
  <w:style w:type="paragraph" w:customStyle="1" w:styleId="xl65">
    <w:name w:val="xl65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C4096D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C409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C409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C409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C4096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C4096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C409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C409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C409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C4096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C4096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C409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C4096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C409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C409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C409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C409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C409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C409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C409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C40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C40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C40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C4096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C409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C40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C409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C409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C40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C4096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C4096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C4096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C4096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C4096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C409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C409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C4096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C4096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C409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C4096D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C409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C409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C409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C409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C409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C409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C409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C4096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C409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C409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C409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C409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C409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C4096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C40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C4096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C4096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C4096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C4096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C4096D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C40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C409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C409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C409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C409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C40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C40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C4096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C4096D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C409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C409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C409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C409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C4096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C4096D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C4096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C4096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C4096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C4096D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C409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C409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C409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C409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C409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C409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C4096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C409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C40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C409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C409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C4096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C409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C409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C409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C409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C4096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C409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C409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C409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C4096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C409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C409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C409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C4096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C4096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C409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C4096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C409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C40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C409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C409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">
    <w:name w:val="Body Text"/>
    <w:basedOn w:val="Normal"/>
    <w:link w:val="BodyTextChar"/>
    <w:rsid w:val="00C409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409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C4096D"/>
  </w:style>
  <w:style w:type="table" w:customStyle="1" w:styleId="TableGrid1">
    <w:name w:val="Table Grid1"/>
    <w:basedOn w:val="TableNormal"/>
    <w:next w:val="TableGrid"/>
    <w:uiPriority w:val="99"/>
    <w:rsid w:val="00C40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4096D"/>
  </w:style>
  <w:style w:type="table" w:customStyle="1" w:styleId="TableGrid11">
    <w:name w:val="Table Grid11"/>
    <w:basedOn w:val="TableNormal"/>
    <w:next w:val="TableGrid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96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4096D"/>
  </w:style>
  <w:style w:type="table" w:customStyle="1" w:styleId="TableGrid2">
    <w:name w:val="Table Grid2"/>
    <w:basedOn w:val="TableNormal"/>
    <w:next w:val="TableGrid"/>
    <w:uiPriority w:val="59"/>
    <w:rsid w:val="00C40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4096D"/>
  </w:style>
  <w:style w:type="table" w:customStyle="1" w:styleId="TableGrid12">
    <w:name w:val="Table Grid12"/>
    <w:basedOn w:val="TableNormal"/>
    <w:next w:val="TableGrid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09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4096D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9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96D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96D"/>
    <w:rPr>
      <w:color w:val="808080"/>
      <w:shd w:val="clear" w:color="auto" w:fill="E6E6E6"/>
    </w:rPr>
  </w:style>
  <w:style w:type="table" w:styleId="TableGrid5">
    <w:name w:val="Table Grid 5"/>
    <w:basedOn w:val="TableNormal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C409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C409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4096D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C4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40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4096D"/>
  </w:style>
  <w:style w:type="paragraph" w:styleId="EnvelopeAddress">
    <w:name w:val="envelope address"/>
    <w:basedOn w:val="Normal"/>
    <w:uiPriority w:val="99"/>
    <w:unhideWhenUsed/>
    <w:rsid w:val="00C409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C4096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96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96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C4096D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C4096D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C4096D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C4096D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4096D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C4096D"/>
  </w:style>
  <w:style w:type="paragraph" w:customStyle="1" w:styleId="NoSpacing1">
    <w:name w:val="No Spacing1"/>
    <w:uiPriority w:val="1"/>
    <w:qFormat/>
    <w:rsid w:val="00C4096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C4096D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C4096D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C4096D"/>
    <w:rPr>
      <w:sz w:val="16"/>
      <w:szCs w:val="16"/>
    </w:rPr>
  </w:style>
  <w:style w:type="paragraph" w:styleId="Index1">
    <w:name w:val="index 1"/>
    <w:basedOn w:val="Normal"/>
    <w:next w:val="Normal"/>
    <w:autoRedefine/>
    <w:rsid w:val="00C4096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C4096D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C4096D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C4096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C4096D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C4096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C4096D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C409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C4096D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C4096D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C4096D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C4096D"/>
  </w:style>
  <w:style w:type="paragraph" w:styleId="BodyText2">
    <w:name w:val="Body Text 2"/>
    <w:basedOn w:val="Normal"/>
    <w:link w:val="BodyText2Char"/>
    <w:rsid w:val="00C40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409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C4096D"/>
  </w:style>
  <w:style w:type="paragraph" w:customStyle="1" w:styleId="NormalSCM">
    <w:name w:val="Normal SCM"/>
    <w:basedOn w:val="Normal"/>
    <w:link w:val="NormalSCMChar"/>
    <w:rsid w:val="00C4096D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C4096D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C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C409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409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C4096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C40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C40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C409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C409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C409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409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C4096D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C4096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C40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C409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C409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C4096D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4096D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4096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C409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C409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C409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C40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C40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C409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C40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C40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C4096D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C409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C4096D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C409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C409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C40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C409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C409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C409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C409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9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96D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C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C4096D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C4096D"/>
    <w:rPr>
      <w:rFonts w:ascii="Sylfaen" w:hAnsi="Sylfaen"/>
      <w:sz w:val="24"/>
      <w:lang w:val="en-US" w:eastAsia="ru-RU"/>
    </w:rPr>
  </w:style>
  <w:style w:type="paragraph" w:customStyle="1" w:styleId="2">
    <w:name w:val="Абзац списка2"/>
    <w:basedOn w:val="Normal"/>
    <w:uiPriority w:val="34"/>
    <w:qFormat/>
    <w:rsid w:val="00C409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3">
    <w:name w:val="No List3"/>
    <w:next w:val="NoList"/>
    <w:uiPriority w:val="99"/>
    <w:semiHidden/>
    <w:unhideWhenUsed/>
    <w:rsid w:val="00C4096D"/>
  </w:style>
  <w:style w:type="numbering" w:customStyle="1" w:styleId="NoList13">
    <w:name w:val="No List13"/>
    <w:next w:val="NoList"/>
    <w:uiPriority w:val="99"/>
    <w:semiHidden/>
    <w:unhideWhenUsed/>
    <w:rsid w:val="00C4096D"/>
  </w:style>
  <w:style w:type="numbering" w:customStyle="1" w:styleId="NoList112">
    <w:name w:val="No List112"/>
    <w:next w:val="NoList"/>
    <w:uiPriority w:val="99"/>
    <w:semiHidden/>
    <w:unhideWhenUsed/>
    <w:rsid w:val="00C4096D"/>
  </w:style>
  <w:style w:type="numbering" w:customStyle="1" w:styleId="NoList21">
    <w:name w:val="No List21"/>
    <w:next w:val="NoList"/>
    <w:uiPriority w:val="99"/>
    <w:semiHidden/>
    <w:unhideWhenUsed/>
    <w:rsid w:val="00C4096D"/>
  </w:style>
  <w:style w:type="numbering" w:customStyle="1" w:styleId="NoList121">
    <w:name w:val="No List121"/>
    <w:next w:val="NoList"/>
    <w:uiPriority w:val="99"/>
    <w:semiHidden/>
    <w:unhideWhenUsed/>
    <w:rsid w:val="00C4096D"/>
  </w:style>
  <w:style w:type="numbering" w:customStyle="1" w:styleId="110">
    <w:name w:val="Нет списка11"/>
    <w:next w:val="NoList"/>
    <w:uiPriority w:val="99"/>
    <w:semiHidden/>
    <w:unhideWhenUsed/>
    <w:rsid w:val="00C4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Goletiani</dc:creator>
  <cp:keywords/>
  <dc:description/>
  <cp:lastModifiedBy>Nino Goletiani</cp:lastModifiedBy>
  <cp:revision>2</cp:revision>
  <dcterms:created xsi:type="dcterms:W3CDTF">2019-03-15T11:15:00Z</dcterms:created>
  <dcterms:modified xsi:type="dcterms:W3CDTF">2019-03-15T11:16:00Z</dcterms:modified>
</cp:coreProperties>
</file>